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1" w:rsidRDefault="00F1682D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F33" w:rsidRDefault="00F168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9800" cy="1261745"/>
                                  <wp:effectExtent l="0" t="0" r="0" b="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126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961F33" w:rsidRDefault="00F1682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9800" cy="1261745"/>
                            <wp:effectExtent l="0" t="0" r="0" b="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126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4A11" w:rsidRDefault="00544A11">
      <w:pPr>
        <w:jc w:val="right"/>
        <w:rPr>
          <w:b/>
          <w:bCs/>
        </w:rPr>
      </w:pPr>
    </w:p>
    <w:p w:rsidR="00544A11" w:rsidRDefault="00544A11">
      <w:pPr>
        <w:jc w:val="right"/>
      </w:pPr>
    </w:p>
    <w:p w:rsidR="00544A11" w:rsidRDefault="00544A11">
      <w:pPr>
        <w:tabs>
          <w:tab w:val="left" w:pos="2160"/>
        </w:tabs>
        <w:rPr>
          <w:b/>
          <w:bCs/>
        </w:rPr>
      </w:pPr>
    </w:p>
    <w:p w:rsidR="00544A11" w:rsidRDefault="00544A11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544A11" w:rsidRDefault="00544A11">
      <w:pPr>
        <w:pStyle w:val="Heading2"/>
      </w:pPr>
    </w:p>
    <w:p w:rsidR="00544A11" w:rsidRDefault="00544A11">
      <w:pPr>
        <w:tabs>
          <w:tab w:val="left" w:pos="2160"/>
        </w:tabs>
        <w:rPr>
          <w:b/>
          <w:bCs/>
        </w:rPr>
      </w:pPr>
      <w:r>
        <w:rPr>
          <w:b/>
          <w:bCs/>
        </w:rPr>
        <w:t>To:</w:t>
      </w:r>
      <w:r w:rsidR="008A29B5">
        <w:rPr>
          <w:b/>
          <w:bCs/>
        </w:rPr>
        <w:t xml:space="preserve">  Council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44A11" w:rsidRDefault="00544A11">
      <w:pPr>
        <w:rPr>
          <w:b/>
          <w:bCs/>
        </w:rPr>
      </w:pPr>
    </w:p>
    <w:p w:rsidR="00544A11" w:rsidRDefault="00544A11">
      <w:pPr>
        <w:tabs>
          <w:tab w:val="left" w:pos="2160"/>
          <w:tab w:val="left" w:pos="6300"/>
          <w:tab w:val="left" w:pos="7380"/>
        </w:tabs>
        <w:rPr>
          <w:b/>
          <w:bCs/>
        </w:rPr>
      </w:pPr>
      <w:r>
        <w:rPr>
          <w:b/>
          <w:bCs/>
        </w:rPr>
        <w:t>Date:</w:t>
      </w:r>
      <w:r w:rsidR="004F7A3D">
        <w:rPr>
          <w:b/>
          <w:bCs/>
        </w:rPr>
        <w:t xml:space="preserve">  </w:t>
      </w:r>
      <w:r w:rsidR="00422F68">
        <w:rPr>
          <w:b/>
          <w:bCs/>
        </w:rPr>
        <w:t xml:space="preserve">20 </w:t>
      </w:r>
      <w:r w:rsidR="00D40987">
        <w:rPr>
          <w:b/>
          <w:bCs/>
        </w:rPr>
        <w:t>July</w:t>
      </w:r>
      <w:r w:rsidR="002A65FA">
        <w:rPr>
          <w:b/>
          <w:bCs/>
        </w:rPr>
        <w:t xml:space="preserve"> 2017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</w:p>
    <w:p w:rsidR="00544A11" w:rsidRDefault="00544A11">
      <w:pPr>
        <w:jc w:val="right"/>
        <w:rPr>
          <w:b/>
          <w:bCs/>
        </w:rPr>
      </w:pPr>
    </w:p>
    <w:p w:rsidR="00544A11" w:rsidRDefault="00544A11">
      <w:pPr>
        <w:rPr>
          <w:b/>
          <w:bCs/>
        </w:rPr>
      </w:pPr>
      <w:r>
        <w:rPr>
          <w:b/>
          <w:bCs/>
        </w:rPr>
        <w:t>Report of:</w:t>
      </w:r>
      <w:r w:rsidR="008A29B5">
        <w:rPr>
          <w:b/>
          <w:bCs/>
        </w:rPr>
        <w:t xml:space="preserve">  </w:t>
      </w:r>
      <w:r w:rsidR="004D61CE">
        <w:rPr>
          <w:b/>
          <w:bCs/>
        </w:rPr>
        <w:t>Monitoring Officer</w:t>
      </w:r>
      <w:r>
        <w:rPr>
          <w:b/>
          <w:bCs/>
        </w:rPr>
        <w:tab/>
      </w:r>
    </w:p>
    <w:p w:rsidR="00544A11" w:rsidRDefault="00544A11">
      <w:pPr>
        <w:tabs>
          <w:tab w:val="left" w:pos="2160"/>
        </w:tabs>
        <w:rPr>
          <w:b/>
          <w:bCs/>
        </w:rPr>
      </w:pPr>
    </w:p>
    <w:p w:rsidR="00544A11" w:rsidRDefault="00544A11">
      <w:pPr>
        <w:tabs>
          <w:tab w:val="left" w:pos="2160"/>
        </w:tabs>
        <w:rPr>
          <w:b/>
          <w:bCs/>
        </w:rPr>
      </w:pPr>
      <w:r>
        <w:rPr>
          <w:b/>
          <w:bCs/>
        </w:rPr>
        <w:t>Title of Report:</w:t>
      </w:r>
      <w:r w:rsidR="002A65FA">
        <w:rPr>
          <w:b/>
          <w:bCs/>
        </w:rPr>
        <w:t xml:space="preserve">  </w:t>
      </w:r>
      <w:r w:rsidR="00DE764C">
        <w:rPr>
          <w:b/>
          <w:bCs/>
        </w:rPr>
        <w:t>Extension of term for appointments of Independent Persons</w:t>
      </w:r>
      <w:r>
        <w:rPr>
          <w:b/>
          <w:bCs/>
        </w:rPr>
        <w:tab/>
      </w:r>
    </w:p>
    <w:p w:rsidR="00544A11" w:rsidRDefault="00544A11">
      <w:pPr>
        <w:jc w:val="center"/>
        <w:rPr>
          <w:b/>
          <w:bCs/>
        </w:rPr>
      </w:pPr>
    </w:p>
    <w:p w:rsidR="00544A11" w:rsidRDefault="00544A11">
      <w:pPr>
        <w:pStyle w:val="Heading1"/>
        <w:jc w:val="center"/>
        <w:rPr>
          <w:u w:val="single"/>
        </w:rPr>
      </w:pPr>
    </w:p>
    <w:p w:rsidR="00544A11" w:rsidRDefault="00544A11" w:rsidP="000A32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u w:val="single"/>
        </w:rPr>
      </w:pPr>
    </w:p>
    <w:p w:rsidR="00544A11" w:rsidRDefault="00544A11" w:rsidP="00CF4F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rPr>
          <w:u w:val="single"/>
        </w:rPr>
        <w:t>Summary and Recommendations</w:t>
      </w:r>
    </w:p>
    <w:p w:rsidR="00544A11" w:rsidRDefault="00544A11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507A2" w:rsidRDefault="00544A11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  <w:bCs/>
        </w:rPr>
        <w:t>Purpose of report</w:t>
      </w:r>
      <w:r>
        <w:t xml:space="preserve">:  </w:t>
      </w:r>
      <w:r w:rsidR="004D61CE" w:rsidRPr="004D61CE">
        <w:t>This report asks Council to authorise the Monitoring Officer to extend the terms of office of the council’s independent persons for code of conduct matters for a further two years.</w:t>
      </w:r>
    </w:p>
    <w:p w:rsidR="00544A11" w:rsidRDefault="008507A2" w:rsidP="00850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A11" w:rsidRDefault="00544A11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 xml:space="preserve">Policy Framework: </w:t>
      </w:r>
      <w:r w:rsidR="008507A2">
        <w:rPr>
          <w:bCs/>
        </w:rPr>
        <w:t>N/A</w:t>
      </w:r>
    </w:p>
    <w:p w:rsidR="00544A11" w:rsidRDefault="00544A11" w:rsidP="000A32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44A11" w:rsidRDefault="00C22F72" w:rsidP="004D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8"/>
        </w:tabs>
        <w:rPr>
          <w:b/>
        </w:rPr>
      </w:pPr>
      <w:r>
        <w:rPr>
          <w:b/>
        </w:rPr>
        <w:t xml:space="preserve">Recommendation(s): </w:t>
      </w:r>
      <w:r w:rsidRPr="00C22F72">
        <w:t xml:space="preserve">Council is </w:t>
      </w:r>
      <w:r w:rsidR="004623F5">
        <w:t>recommended</w:t>
      </w:r>
      <w:r w:rsidR="004D61CE">
        <w:t xml:space="preserve"> to </w:t>
      </w:r>
      <w:r w:rsidR="004D61CE" w:rsidRPr="004D61CE">
        <w:t xml:space="preserve">authorise the Monitoring Officer to extend the terms of office of the Council’s </w:t>
      </w:r>
      <w:r w:rsidR="004D61CE">
        <w:t>Independent P</w:t>
      </w:r>
      <w:r w:rsidR="004D61CE" w:rsidRPr="004D61CE">
        <w:t>ersons for code of conduct matters</w:t>
      </w:r>
      <w:r w:rsidR="004D61CE">
        <w:t xml:space="preserve"> </w:t>
      </w:r>
      <w:r w:rsidR="004D61CE" w:rsidRPr="004D61CE">
        <w:t>for a further two years.</w:t>
      </w:r>
    </w:p>
    <w:p w:rsidR="00544A11" w:rsidRDefault="00544A11"/>
    <w:p w:rsidR="00544A11" w:rsidRPr="00000D1E" w:rsidRDefault="00544A11">
      <w:pPr>
        <w:rPr>
          <w:b/>
        </w:rPr>
      </w:pPr>
      <w:r w:rsidRPr="00CF4F79">
        <w:rPr>
          <w:b/>
        </w:rPr>
        <w:t>Summary of report</w:t>
      </w:r>
    </w:p>
    <w:p w:rsidR="00544A11" w:rsidRDefault="00544A11"/>
    <w:p w:rsidR="004D61CE" w:rsidRPr="004623F5" w:rsidRDefault="004D61CE" w:rsidP="000779A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rPr>
          <w:rFonts w:cs="Arial"/>
          <w:lang w:eastAsia="en-GB"/>
        </w:rPr>
      </w:pPr>
      <w:r w:rsidRPr="004623F5">
        <w:rPr>
          <w:rFonts w:cs="Arial"/>
          <w:lang w:eastAsia="en-GB"/>
        </w:rPr>
        <w:t xml:space="preserve">The Localism Act 2011 </w:t>
      </w:r>
      <w:r w:rsidR="00D50A7D" w:rsidRPr="004623F5">
        <w:rPr>
          <w:rFonts w:cs="Arial"/>
          <w:lang w:eastAsia="en-GB"/>
        </w:rPr>
        <w:t xml:space="preserve">(“the Act”) </w:t>
      </w:r>
      <w:r w:rsidRPr="004623F5">
        <w:rPr>
          <w:rFonts w:cs="Arial"/>
          <w:lang w:eastAsia="en-GB"/>
        </w:rPr>
        <w:t>created a new category of Independent Person who the Monitoring Officer must consult at various stages of the process when dealing with allegations of misconduct by district or parish councillors.</w:t>
      </w:r>
    </w:p>
    <w:p w:rsidR="004D61CE" w:rsidRPr="004623F5" w:rsidRDefault="004D61CE" w:rsidP="004623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rPr>
          <w:rFonts w:cs="Arial"/>
          <w:lang w:eastAsia="en-GB"/>
        </w:rPr>
      </w:pPr>
      <w:r w:rsidRPr="004623F5">
        <w:rPr>
          <w:rFonts w:cs="Arial"/>
          <w:lang w:eastAsia="en-GB"/>
        </w:rPr>
        <w:t xml:space="preserve">At its meeting on </w:t>
      </w:r>
      <w:r w:rsidR="005C50BB" w:rsidRPr="004623F5">
        <w:rPr>
          <w:rFonts w:cs="Arial"/>
          <w:lang w:eastAsia="en-GB"/>
        </w:rPr>
        <w:t>16th J</w:t>
      </w:r>
      <w:r w:rsidR="000A5A55" w:rsidRPr="004623F5">
        <w:rPr>
          <w:rFonts w:cs="Arial"/>
          <w:lang w:eastAsia="en-GB"/>
        </w:rPr>
        <w:t xml:space="preserve">uly </w:t>
      </w:r>
      <w:r w:rsidRPr="004623F5">
        <w:rPr>
          <w:rFonts w:cs="Arial"/>
          <w:lang w:eastAsia="en-GB"/>
        </w:rPr>
        <w:t xml:space="preserve">2012, the Council appointed </w:t>
      </w:r>
      <w:r w:rsidR="000A5A55" w:rsidRPr="004623F5">
        <w:rPr>
          <w:rFonts w:cs="Arial"/>
          <w:lang w:eastAsia="en-GB"/>
        </w:rPr>
        <w:t xml:space="preserve">Chris Ballinger, Godfrey Cole, Jill </w:t>
      </w:r>
      <w:proofErr w:type="spellStart"/>
      <w:r w:rsidR="000A5A55" w:rsidRPr="004623F5">
        <w:rPr>
          <w:rFonts w:cs="Arial"/>
          <w:lang w:eastAsia="en-GB"/>
        </w:rPr>
        <w:t>McLeery</w:t>
      </w:r>
      <w:proofErr w:type="spellEnd"/>
      <w:r w:rsidR="000A5A55" w:rsidRPr="004623F5">
        <w:rPr>
          <w:rFonts w:cs="Arial"/>
          <w:lang w:eastAsia="en-GB"/>
        </w:rPr>
        <w:t xml:space="preserve"> and Ben Simpson </w:t>
      </w:r>
      <w:r w:rsidR="005C50BB" w:rsidRPr="004623F5">
        <w:rPr>
          <w:rFonts w:cs="Arial"/>
          <w:lang w:eastAsia="en-GB"/>
        </w:rPr>
        <w:t>as the C</w:t>
      </w:r>
      <w:r w:rsidRPr="004623F5">
        <w:rPr>
          <w:rFonts w:cs="Arial"/>
          <w:lang w:eastAsia="en-GB"/>
        </w:rPr>
        <w:t xml:space="preserve">ouncil’s Independent Persons </w:t>
      </w:r>
      <w:r w:rsidR="000A5A55" w:rsidRPr="004623F5">
        <w:rPr>
          <w:rFonts w:cs="Arial"/>
          <w:lang w:eastAsia="en-GB"/>
        </w:rPr>
        <w:t>for five</w:t>
      </w:r>
      <w:r w:rsidRPr="004623F5">
        <w:rPr>
          <w:rFonts w:cs="Arial"/>
          <w:lang w:eastAsia="en-GB"/>
        </w:rPr>
        <w:t xml:space="preserve"> years.</w:t>
      </w:r>
    </w:p>
    <w:p w:rsidR="004D61CE" w:rsidRPr="004623F5" w:rsidRDefault="004D61CE" w:rsidP="004D61C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rPr>
          <w:rFonts w:cs="Arial"/>
          <w:lang w:eastAsia="en-GB"/>
        </w:rPr>
      </w:pPr>
      <w:r w:rsidRPr="004623F5">
        <w:rPr>
          <w:rFonts w:cs="Arial"/>
          <w:lang w:eastAsia="en-GB"/>
        </w:rPr>
        <w:t>These appointments were made following an advertisement, application and</w:t>
      </w:r>
      <w:r w:rsidR="005C50BB" w:rsidRPr="004623F5">
        <w:rPr>
          <w:rFonts w:cs="Arial"/>
          <w:lang w:eastAsia="en-GB"/>
        </w:rPr>
        <w:t xml:space="preserve"> </w:t>
      </w:r>
      <w:r w:rsidRPr="004623F5">
        <w:rPr>
          <w:rFonts w:cs="Arial"/>
          <w:lang w:eastAsia="en-GB"/>
        </w:rPr>
        <w:t xml:space="preserve">interview process and with a positive vote by a majority of councillors as required </w:t>
      </w:r>
      <w:r w:rsidR="005C50BB" w:rsidRPr="004623F5">
        <w:rPr>
          <w:rFonts w:cs="Arial"/>
          <w:lang w:eastAsia="en-GB"/>
        </w:rPr>
        <w:t xml:space="preserve">by the Localism Act. </w:t>
      </w:r>
      <w:r w:rsidRPr="004623F5">
        <w:rPr>
          <w:rFonts w:cs="Arial"/>
          <w:lang w:eastAsia="en-GB"/>
        </w:rPr>
        <w:t>The Localism Act does not prescribe a time limit on the terms of office of independent persons and these are therefor</w:t>
      </w:r>
      <w:r w:rsidR="00E236BC" w:rsidRPr="004623F5">
        <w:rPr>
          <w:rFonts w:cs="Arial"/>
          <w:lang w:eastAsia="en-GB"/>
        </w:rPr>
        <w:t>e within the discretion of the C</w:t>
      </w:r>
      <w:r w:rsidRPr="004623F5">
        <w:rPr>
          <w:rFonts w:cs="Arial"/>
          <w:lang w:eastAsia="en-GB"/>
        </w:rPr>
        <w:t>ouncil.</w:t>
      </w:r>
    </w:p>
    <w:p w:rsidR="000A5A55" w:rsidRPr="004623F5" w:rsidRDefault="004D61CE" w:rsidP="004623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rPr>
          <w:rFonts w:cs="Arial"/>
          <w:lang w:eastAsia="en-GB"/>
        </w:rPr>
      </w:pPr>
      <w:r w:rsidRPr="004623F5">
        <w:rPr>
          <w:rFonts w:cs="Arial"/>
          <w:lang w:eastAsia="en-GB"/>
        </w:rPr>
        <w:t xml:space="preserve">It would be open to the </w:t>
      </w:r>
      <w:r w:rsidR="004623F5">
        <w:rPr>
          <w:rFonts w:cs="Arial"/>
          <w:lang w:eastAsia="en-GB"/>
        </w:rPr>
        <w:t>C</w:t>
      </w:r>
      <w:r w:rsidRPr="004623F5">
        <w:rPr>
          <w:rFonts w:cs="Arial"/>
          <w:lang w:eastAsia="en-GB"/>
        </w:rPr>
        <w:t>ouncil to carry out a fresh recruitment process at this time or to reappoint the current Independent P</w:t>
      </w:r>
      <w:r w:rsidR="000A5A55" w:rsidRPr="004623F5">
        <w:rPr>
          <w:rFonts w:cs="Arial"/>
          <w:lang w:eastAsia="en-GB"/>
        </w:rPr>
        <w:t>ersons for a further term.</w:t>
      </w:r>
    </w:p>
    <w:p w:rsidR="004D61CE" w:rsidRPr="004623F5" w:rsidRDefault="004D61CE" w:rsidP="004623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rPr>
          <w:rFonts w:cs="Arial"/>
          <w:lang w:eastAsia="en-GB"/>
        </w:rPr>
      </w:pPr>
      <w:r w:rsidRPr="004623F5">
        <w:rPr>
          <w:rFonts w:cs="Arial"/>
          <w:lang w:eastAsia="en-GB"/>
        </w:rPr>
        <w:lastRenderedPageBreak/>
        <w:t>Since their appointment, the current Independent Persons have attended training, carried out their roles diligently</w:t>
      </w:r>
      <w:r w:rsidR="004623F5">
        <w:rPr>
          <w:rFonts w:cs="Arial"/>
          <w:lang w:eastAsia="en-GB"/>
        </w:rPr>
        <w:t>,</w:t>
      </w:r>
      <w:r w:rsidRPr="004623F5">
        <w:rPr>
          <w:rFonts w:cs="Arial"/>
          <w:lang w:eastAsia="en-GB"/>
        </w:rPr>
        <w:t xml:space="preserve"> and gaine</w:t>
      </w:r>
      <w:r w:rsidR="004623F5">
        <w:rPr>
          <w:rFonts w:cs="Arial"/>
          <w:lang w:eastAsia="en-GB"/>
        </w:rPr>
        <w:t>d experience from which the C</w:t>
      </w:r>
      <w:bookmarkStart w:id="0" w:name="_GoBack"/>
      <w:bookmarkEnd w:id="0"/>
      <w:r w:rsidRPr="004623F5">
        <w:rPr>
          <w:rFonts w:cs="Arial"/>
          <w:lang w:eastAsia="en-GB"/>
        </w:rPr>
        <w:t xml:space="preserve">ouncil can benefit for a further period. </w:t>
      </w:r>
      <w:r w:rsidR="00E236BC" w:rsidRPr="004623F5">
        <w:rPr>
          <w:rFonts w:cs="Arial"/>
          <w:lang w:eastAsia="en-GB"/>
        </w:rPr>
        <w:t xml:space="preserve">The Independent Persons have collectively dealt with complaints about Members who </w:t>
      </w:r>
      <w:r w:rsidR="00FC1CD3" w:rsidRPr="004623F5">
        <w:rPr>
          <w:rFonts w:cs="Arial"/>
          <w:lang w:eastAsia="en-GB"/>
        </w:rPr>
        <w:t>are accused o</w:t>
      </w:r>
      <w:r w:rsidR="004623F5">
        <w:rPr>
          <w:rFonts w:cs="Arial"/>
          <w:lang w:eastAsia="en-GB"/>
        </w:rPr>
        <w:t>f breaching the Code of Conduct</w:t>
      </w:r>
      <w:r w:rsidR="00FC1CD3" w:rsidRPr="004623F5">
        <w:rPr>
          <w:rFonts w:cs="Arial"/>
          <w:lang w:eastAsia="en-GB"/>
        </w:rPr>
        <w:t xml:space="preserve"> as they arise.</w:t>
      </w:r>
    </w:p>
    <w:p w:rsidR="007F42FB" w:rsidRPr="004623F5" w:rsidRDefault="004D61CE" w:rsidP="004623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rPr>
          <w:rFonts w:cs="Arial"/>
          <w:lang w:eastAsia="en-GB"/>
        </w:rPr>
      </w:pPr>
      <w:r w:rsidRPr="004623F5">
        <w:rPr>
          <w:rFonts w:cs="Arial"/>
          <w:lang w:eastAsia="en-GB"/>
        </w:rPr>
        <w:t>The Independent Persons have been asked to confirm their agreement to the</w:t>
      </w:r>
      <w:r w:rsidR="005C50BB" w:rsidRPr="004623F5">
        <w:rPr>
          <w:rFonts w:cs="Arial"/>
          <w:lang w:eastAsia="en-GB"/>
        </w:rPr>
        <w:t xml:space="preserve"> </w:t>
      </w:r>
      <w:r w:rsidRPr="004623F5">
        <w:rPr>
          <w:rFonts w:cs="Arial"/>
          <w:lang w:eastAsia="en-GB"/>
        </w:rPr>
        <w:t>proposed extension of their term of office</w:t>
      </w:r>
      <w:r w:rsidR="00FC1CD3" w:rsidRPr="004623F5">
        <w:rPr>
          <w:rFonts w:cs="Arial"/>
          <w:lang w:eastAsia="en-GB"/>
        </w:rPr>
        <w:t xml:space="preserve"> and have each confirmed that they are willing to continue in the role.</w:t>
      </w:r>
    </w:p>
    <w:p w:rsidR="00FC1CD3" w:rsidRDefault="00FC1CD3" w:rsidP="00FC1CD3">
      <w:pPr>
        <w:autoSpaceDE w:val="0"/>
        <w:autoSpaceDN w:val="0"/>
        <w:adjustRightInd w:val="0"/>
      </w:pPr>
    </w:p>
    <w:p w:rsidR="00916CA1" w:rsidRDefault="00916CA1" w:rsidP="00916CA1">
      <w:pPr>
        <w:rPr>
          <w:b/>
        </w:rPr>
      </w:pPr>
      <w:r w:rsidRPr="00916CA1">
        <w:rPr>
          <w:b/>
        </w:rPr>
        <w:t>Financial and Legal Implications</w:t>
      </w:r>
    </w:p>
    <w:p w:rsidR="00916CA1" w:rsidRDefault="00916CA1" w:rsidP="00916CA1">
      <w:pPr>
        <w:rPr>
          <w:b/>
        </w:rPr>
      </w:pPr>
    </w:p>
    <w:p w:rsidR="00FC1CD3" w:rsidRPr="004623F5" w:rsidRDefault="00FC1CD3" w:rsidP="004623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rPr>
          <w:rFonts w:cs="Arial"/>
          <w:lang w:eastAsia="en-GB"/>
        </w:rPr>
      </w:pPr>
      <w:r w:rsidRPr="004623F5">
        <w:rPr>
          <w:rFonts w:cs="Arial"/>
          <w:lang w:eastAsia="en-GB"/>
        </w:rPr>
        <w:t xml:space="preserve">There are no financial or legal implications arising directly from the recommendations contained in the report. </w:t>
      </w:r>
    </w:p>
    <w:p w:rsidR="00FC1CD3" w:rsidRPr="004623F5" w:rsidRDefault="00FC1CD3" w:rsidP="004623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rPr>
          <w:rFonts w:cs="Arial"/>
          <w:lang w:eastAsia="en-GB"/>
        </w:rPr>
      </w:pPr>
      <w:r w:rsidRPr="004623F5">
        <w:rPr>
          <w:rFonts w:cs="Arial"/>
          <w:lang w:eastAsia="en-GB"/>
        </w:rPr>
        <w:t>The Council is</w:t>
      </w:r>
      <w:r w:rsidR="00D50A7D" w:rsidRPr="004623F5">
        <w:rPr>
          <w:rFonts w:cs="Arial"/>
          <w:lang w:eastAsia="en-GB"/>
        </w:rPr>
        <w:t xml:space="preserve"> required by the </w:t>
      </w:r>
      <w:r w:rsidR="001F4AEF" w:rsidRPr="004623F5">
        <w:rPr>
          <w:rFonts w:cs="Arial"/>
          <w:lang w:eastAsia="en-GB"/>
        </w:rPr>
        <w:t>Act</w:t>
      </w:r>
      <w:r w:rsidR="00D50A7D" w:rsidRPr="004623F5">
        <w:rPr>
          <w:rFonts w:cs="Arial"/>
          <w:lang w:eastAsia="en-GB"/>
        </w:rPr>
        <w:t xml:space="preserve"> to appoint at least one Independent Person and t</w:t>
      </w:r>
      <w:r w:rsidRPr="004623F5">
        <w:rPr>
          <w:rFonts w:cs="Arial"/>
          <w:lang w:eastAsia="en-GB"/>
        </w:rPr>
        <w:t>he Council does not pay its Independent Persons.</w:t>
      </w:r>
    </w:p>
    <w:p w:rsidR="00FC1CD3" w:rsidRPr="004623F5" w:rsidRDefault="00FC1CD3" w:rsidP="004623F5">
      <w:pPr>
        <w:autoSpaceDE w:val="0"/>
        <w:autoSpaceDN w:val="0"/>
        <w:adjustRightInd w:val="0"/>
        <w:spacing w:after="120"/>
        <w:rPr>
          <w:rFonts w:cs="Arial"/>
          <w:lang w:eastAsia="en-GB"/>
        </w:rPr>
      </w:pPr>
    </w:p>
    <w:p w:rsidR="00544A11" w:rsidRDefault="00544A11" w:rsidP="00544A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44A11" w:rsidTr="00544A11">
        <w:tc>
          <w:tcPr>
            <w:tcW w:w="8522" w:type="dxa"/>
          </w:tcPr>
          <w:p w:rsidR="00544A11" w:rsidRDefault="00544A11" w:rsidP="00544A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544A11" w:rsidTr="00544A11">
        <w:tc>
          <w:tcPr>
            <w:tcW w:w="8522" w:type="dxa"/>
          </w:tcPr>
          <w:p w:rsidR="00544A11" w:rsidRDefault="00544A11" w:rsidP="00544A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</w:tc>
      </w:tr>
      <w:tr w:rsidR="00544A11" w:rsidTr="00544A11">
        <w:tc>
          <w:tcPr>
            <w:tcW w:w="8522" w:type="dxa"/>
          </w:tcPr>
          <w:p w:rsidR="00544A11" w:rsidRDefault="00C22F72" w:rsidP="00544A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Emma Griffiths</w:t>
            </w:r>
          </w:p>
        </w:tc>
      </w:tr>
      <w:tr w:rsidR="00544A11" w:rsidTr="00544A11">
        <w:tc>
          <w:tcPr>
            <w:tcW w:w="8522" w:type="dxa"/>
          </w:tcPr>
          <w:p w:rsidR="00544A11" w:rsidRDefault="00157C3F" w:rsidP="00F776E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L</w:t>
            </w:r>
            <w:r w:rsidR="00C22F72">
              <w:t>awyer</w:t>
            </w:r>
            <w:r w:rsidR="00F776ED">
              <w:t xml:space="preserve">, </w:t>
            </w:r>
            <w:r w:rsidR="00C22F72">
              <w:t xml:space="preserve">Law &amp; Governance </w:t>
            </w:r>
          </w:p>
        </w:tc>
      </w:tr>
      <w:tr w:rsidR="00544A11" w:rsidTr="00CF4F79">
        <w:trPr>
          <w:trHeight w:val="175"/>
        </w:trPr>
        <w:tc>
          <w:tcPr>
            <w:tcW w:w="8522" w:type="dxa"/>
          </w:tcPr>
          <w:p w:rsidR="00544A11" w:rsidRDefault="00C22F72" w:rsidP="00544A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Tel:  01865 252208</w:t>
            </w:r>
            <w:r w:rsidR="00544A11">
              <w:t xml:space="preserve"> </w:t>
            </w:r>
          </w:p>
          <w:p w:rsidR="00544A11" w:rsidRDefault="005C50BB" w:rsidP="00C22F7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>E</w:t>
            </w:r>
            <w:r w:rsidR="00544A11">
              <w:t xml:space="preserve">-mail:  </w:t>
            </w:r>
            <w:r w:rsidR="00C22F72">
              <w:rPr>
                <w:color w:val="0000FF"/>
                <w:u w:val="single"/>
              </w:rPr>
              <w:t>egriffiths@oxford.gov.uk</w:t>
            </w:r>
          </w:p>
        </w:tc>
      </w:tr>
    </w:tbl>
    <w:p w:rsidR="004623F5" w:rsidRDefault="004623F5" w:rsidP="00544A11">
      <w:pPr>
        <w:rPr>
          <w:b/>
          <w:bCs/>
        </w:rPr>
      </w:pPr>
    </w:p>
    <w:p w:rsidR="004623F5" w:rsidRDefault="004623F5" w:rsidP="00544A11">
      <w:pPr>
        <w:rPr>
          <w:b/>
          <w:bCs/>
        </w:rPr>
      </w:pPr>
    </w:p>
    <w:p w:rsidR="001D1F27" w:rsidRDefault="00544A11" w:rsidP="00544A11">
      <w:pPr>
        <w:rPr>
          <w:b/>
          <w:bCs/>
        </w:rPr>
      </w:pPr>
      <w:r>
        <w:rPr>
          <w:b/>
          <w:bCs/>
        </w:rPr>
        <w:t>Background papers: none</w:t>
      </w:r>
    </w:p>
    <w:sectPr w:rsidR="001D1F27" w:rsidSect="00462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3B" w:rsidRDefault="00497B3B">
      <w:r>
        <w:separator/>
      </w:r>
    </w:p>
  </w:endnote>
  <w:endnote w:type="continuationSeparator" w:id="0">
    <w:p w:rsidR="00497B3B" w:rsidRDefault="004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33" w:rsidRDefault="00961F33">
    <w:pPr>
      <w:rPr>
        <w:sz w:val="20"/>
      </w:rPr>
    </w:pPr>
  </w:p>
  <w:p w:rsidR="00961F33" w:rsidRDefault="00961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3B" w:rsidRDefault="00497B3B">
      <w:r>
        <w:separator/>
      </w:r>
    </w:p>
  </w:footnote>
  <w:footnote w:type="continuationSeparator" w:id="0">
    <w:p w:rsidR="00497B3B" w:rsidRDefault="0049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8" w:rsidRDefault="00C26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E18"/>
    <w:multiLevelType w:val="hybridMultilevel"/>
    <w:tmpl w:val="58120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941"/>
    <w:multiLevelType w:val="hybridMultilevel"/>
    <w:tmpl w:val="F444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5990"/>
    <w:multiLevelType w:val="hybridMultilevel"/>
    <w:tmpl w:val="7A208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155"/>
    <w:multiLevelType w:val="hybridMultilevel"/>
    <w:tmpl w:val="1742AABC"/>
    <w:lvl w:ilvl="0" w:tplc="E39088D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A2AE6"/>
    <w:multiLevelType w:val="hybridMultilevel"/>
    <w:tmpl w:val="E7B0C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A2BC2"/>
    <w:multiLevelType w:val="hybridMultilevel"/>
    <w:tmpl w:val="B9CE8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5F25"/>
    <w:multiLevelType w:val="hybridMultilevel"/>
    <w:tmpl w:val="422A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F28FE"/>
    <w:multiLevelType w:val="hybridMultilevel"/>
    <w:tmpl w:val="BAEA157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447E57"/>
    <w:multiLevelType w:val="hybridMultilevel"/>
    <w:tmpl w:val="B17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36658"/>
    <w:multiLevelType w:val="hybridMultilevel"/>
    <w:tmpl w:val="F7FE90D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7F90784"/>
    <w:multiLevelType w:val="hybridMultilevel"/>
    <w:tmpl w:val="8DD2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F1975"/>
    <w:multiLevelType w:val="hybridMultilevel"/>
    <w:tmpl w:val="B0E6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C27AC"/>
    <w:multiLevelType w:val="hybridMultilevel"/>
    <w:tmpl w:val="3600F494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3">
    <w:nsid w:val="4C837E46"/>
    <w:multiLevelType w:val="hybridMultilevel"/>
    <w:tmpl w:val="380A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C73C3"/>
    <w:multiLevelType w:val="hybridMultilevel"/>
    <w:tmpl w:val="B3CE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57DCD"/>
    <w:multiLevelType w:val="hybridMultilevel"/>
    <w:tmpl w:val="84F6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53DB9"/>
    <w:multiLevelType w:val="hybridMultilevel"/>
    <w:tmpl w:val="53CACF9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759018C"/>
    <w:multiLevelType w:val="hybridMultilevel"/>
    <w:tmpl w:val="FEF6E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E16ED"/>
    <w:multiLevelType w:val="hybridMultilevel"/>
    <w:tmpl w:val="A210C7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DBF10C1"/>
    <w:multiLevelType w:val="hybridMultilevel"/>
    <w:tmpl w:val="D8280A8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8787639"/>
    <w:multiLevelType w:val="hybridMultilevel"/>
    <w:tmpl w:val="9108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E56A4"/>
    <w:multiLevelType w:val="hybridMultilevel"/>
    <w:tmpl w:val="0FB4D98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ED80AA8"/>
    <w:multiLevelType w:val="hybridMultilevel"/>
    <w:tmpl w:val="48322E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22"/>
  </w:num>
  <w:num w:numId="5">
    <w:abstractNumId w:val="19"/>
  </w:num>
  <w:num w:numId="6">
    <w:abstractNumId w:val="11"/>
  </w:num>
  <w:num w:numId="7">
    <w:abstractNumId w:val="11"/>
  </w:num>
  <w:num w:numId="8">
    <w:abstractNumId w:val="14"/>
  </w:num>
  <w:num w:numId="9">
    <w:abstractNumId w:val="15"/>
  </w:num>
  <w:num w:numId="10">
    <w:abstractNumId w:val="20"/>
  </w:num>
  <w:num w:numId="11">
    <w:abstractNumId w:val="1"/>
  </w:num>
  <w:num w:numId="12">
    <w:abstractNumId w:val="1"/>
  </w:num>
  <w:num w:numId="13">
    <w:abstractNumId w:val="12"/>
  </w:num>
  <w:num w:numId="14">
    <w:abstractNumId w:val="17"/>
  </w:num>
  <w:num w:numId="15">
    <w:abstractNumId w:val="16"/>
  </w:num>
  <w:num w:numId="16">
    <w:abstractNumId w:val="3"/>
  </w:num>
  <w:num w:numId="17">
    <w:abstractNumId w:val="6"/>
  </w:num>
  <w:num w:numId="18">
    <w:abstractNumId w:val="8"/>
  </w:num>
  <w:num w:numId="19">
    <w:abstractNumId w:val="13"/>
  </w:num>
  <w:num w:numId="20">
    <w:abstractNumId w:val="9"/>
  </w:num>
  <w:num w:numId="21">
    <w:abstractNumId w:val="21"/>
  </w:num>
  <w:num w:numId="22">
    <w:abstractNumId w:val="18"/>
  </w:num>
  <w:num w:numId="23">
    <w:abstractNumId w:val="10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D"/>
    <w:rsid w:val="00000D1E"/>
    <w:rsid w:val="000119A7"/>
    <w:rsid w:val="0001673E"/>
    <w:rsid w:val="00025A2E"/>
    <w:rsid w:val="00054D35"/>
    <w:rsid w:val="00061FDD"/>
    <w:rsid w:val="0006404A"/>
    <w:rsid w:val="00066F20"/>
    <w:rsid w:val="000677C9"/>
    <w:rsid w:val="00070D77"/>
    <w:rsid w:val="00071246"/>
    <w:rsid w:val="000779A0"/>
    <w:rsid w:val="00081723"/>
    <w:rsid w:val="000A155F"/>
    <w:rsid w:val="000A3296"/>
    <w:rsid w:val="000A5A55"/>
    <w:rsid w:val="000D212C"/>
    <w:rsid w:val="000E026B"/>
    <w:rsid w:val="000E26D7"/>
    <w:rsid w:val="000E3E1B"/>
    <w:rsid w:val="000F6763"/>
    <w:rsid w:val="0011488C"/>
    <w:rsid w:val="00157C3F"/>
    <w:rsid w:val="00160FBF"/>
    <w:rsid w:val="00161F60"/>
    <w:rsid w:val="00175E0F"/>
    <w:rsid w:val="00184404"/>
    <w:rsid w:val="0019239A"/>
    <w:rsid w:val="0019652A"/>
    <w:rsid w:val="001A3E87"/>
    <w:rsid w:val="001B4FE3"/>
    <w:rsid w:val="001B7016"/>
    <w:rsid w:val="001C41E5"/>
    <w:rsid w:val="001D1F27"/>
    <w:rsid w:val="001E5D5A"/>
    <w:rsid w:val="001F234E"/>
    <w:rsid w:val="001F4AEF"/>
    <w:rsid w:val="00202E1D"/>
    <w:rsid w:val="00210C79"/>
    <w:rsid w:val="00213787"/>
    <w:rsid w:val="00223719"/>
    <w:rsid w:val="00223879"/>
    <w:rsid w:val="00223DB4"/>
    <w:rsid w:val="002350AC"/>
    <w:rsid w:val="0026008C"/>
    <w:rsid w:val="00260431"/>
    <w:rsid w:val="00277576"/>
    <w:rsid w:val="00293304"/>
    <w:rsid w:val="002A0473"/>
    <w:rsid w:val="002A65FA"/>
    <w:rsid w:val="002B7054"/>
    <w:rsid w:val="002B74E3"/>
    <w:rsid w:val="002E1CA2"/>
    <w:rsid w:val="002F457A"/>
    <w:rsid w:val="00307A87"/>
    <w:rsid w:val="00321285"/>
    <w:rsid w:val="00337102"/>
    <w:rsid w:val="003462D2"/>
    <w:rsid w:val="00367300"/>
    <w:rsid w:val="00370887"/>
    <w:rsid w:val="00370B42"/>
    <w:rsid w:val="003871FD"/>
    <w:rsid w:val="003D3660"/>
    <w:rsid w:val="003F1984"/>
    <w:rsid w:val="004027C7"/>
    <w:rsid w:val="00422F68"/>
    <w:rsid w:val="00433AB6"/>
    <w:rsid w:val="00435325"/>
    <w:rsid w:val="00455C35"/>
    <w:rsid w:val="004623F5"/>
    <w:rsid w:val="004718F0"/>
    <w:rsid w:val="0048652C"/>
    <w:rsid w:val="00497B3B"/>
    <w:rsid w:val="004A3759"/>
    <w:rsid w:val="004A45D5"/>
    <w:rsid w:val="004D1BF1"/>
    <w:rsid w:val="004D20D8"/>
    <w:rsid w:val="004D309E"/>
    <w:rsid w:val="004D61CE"/>
    <w:rsid w:val="004D6EB8"/>
    <w:rsid w:val="004E6A70"/>
    <w:rsid w:val="004F7A3D"/>
    <w:rsid w:val="00520169"/>
    <w:rsid w:val="00524B98"/>
    <w:rsid w:val="00524FE3"/>
    <w:rsid w:val="00542CD2"/>
    <w:rsid w:val="00544A11"/>
    <w:rsid w:val="00550AC7"/>
    <w:rsid w:val="00572CD3"/>
    <w:rsid w:val="005A22D7"/>
    <w:rsid w:val="005B58BB"/>
    <w:rsid w:val="005C0B95"/>
    <w:rsid w:val="005C1E9B"/>
    <w:rsid w:val="005C50BB"/>
    <w:rsid w:val="005D1797"/>
    <w:rsid w:val="005E1D8B"/>
    <w:rsid w:val="005E77F7"/>
    <w:rsid w:val="005F6645"/>
    <w:rsid w:val="00622206"/>
    <w:rsid w:val="0062361D"/>
    <w:rsid w:val="00647385"/>
    <w:rsid w:val="00665290"/>
    <w:rsid w:val="006A0963"/>
    <w:rsid w:val="006B7EFC"/>
    <w:rsid w:val="006D237C"/>
    <w:rsid w:val="006D430C"/>
    <w:rsid w:val="006E24E8"/>
    <w:rsid w:val="006E55F2"/>
    <w:rsid w:val="00710AE0"/>
    <w:rsid w:val="00717259"/>
    <w:rsid w:val="0072250F"/>
    <w:rsid w:val="0073625E"/>
    <w:rsid w:val="00747EB0"/>
    <w:rsid w:val="007949A7"/>
    <w:rsid w:val="007A663E"/>
    <w:rsid w:val="007B0025"/>
    <w:rsid w:val="007F27C2"/>
    <w:rsid w:val="007F3A1A"/>
    <w:rsid w:val="007F42FB"/>
    <w:rsid w:val="008507A2"/>
    <w:rsid w:val="00874429"/>
    <w:rsid w:val="008819E5"/>
    <w:rsid w:val="00886639"/>
    <w:rsid w:val="00887E6E"/>
    <w:rsid w:val="00891DE9"/>
    <w:rsid w:val="008A29B5"/>
    <w:rsid w:val="008A599C"/>
    <w:rsid w:val="008B7806"/>
    <w:rsid w:val="008C7D02"/>
    <w:rsid w:val="0090060E"/>
    <w:rsid w:val="0091493B"/>
    <w:rsid w:val="00916CA1"/>
    <w:rsid w:val="00936AED"/>
    <w:rsid w:val="00942713"/>
    <w:rsid w:val="00943B84"/>
    <w:rsid w:val="00961F33"/>
    <w:rsid w:val="00976BE0"/>
    <w:rsid w:val="009A796F"/>
    <w:rsid w:val="009B0D52"/>
    <w:rsid w:val="009C243B"/>
    <w:rsid w:val="009D3C6F"/>
    <w:rsid w:val="009E4B16"/>
    <w:rsid w:val="009F39DB"/>
    <w:rsid w:val="009F68C3"/>
    <w:rsid w:val="00A5068B"/>
    <w:rsid w:val="00A57B85"/>
    <w:rsid w:val="00A874E8"/>
    <w:rsid w:val="00AB1D54"/>
    <w:rsid w:val="00AB7829"/>
    <w:rsid w:val="00AD5D1A"/>
    <w:rsid w:val="00AF5138"/>
    <w:rsid w:val="00B0576B"/>
    <w:rsid w:val="00B2757F"/>
    <w:rsid w:val="00B4624A"/>
    <w:rsid w:val="00B766C8"/>
    <w:rsid w:val="00B90DF9"/>
    <w:rsid w:val="00B95028"/>
    <w:rsid w:val="00BD254B"/>
    <w:rsid w:val="00BE6838"/>
    <w:rsid w:val="00C01651"/>
    <w:rsid w:val="00C131EF"/>
    <w:rsid w:val="00C22F72"/>
    <w:rsid w:val="00C24CFE"/>
    <w:rsid w:val="00C26788"/>
    <w:rsid w:val="00C3245A"/>
    <w:rsid w:val="00C413CC"/>
    <w:rsid w:val="00C8098B"/>
    <w:rsid w:val="00C908FE"/>
    <w:rsid w:val="00CB4514"/>
    <w:rsid w:val="00CB6453"/>
    <w:rsid w:val="00CC00BF"/>
    <w:rsid w:val="00CC014B"/>
    <w:rsid w:val="00CD2166"/>
    <w:rsid w:val="00CE2F43"/>
    <w:rsid w:val="00CF4F79"/>
    <w:rsid w:val="00D05712"/>
    <w:rsid w:val="00D128F1"/>
    <w:rsid w:val="00D20BFE"/>
    <w:rsid w:val="00D34045"/>
    <w:rsid w:val="00D40987"/>
    <w:rsid w:val="00D50754"/>
    <w:rsid w:val="00D50A7D"/>
    <w:rsid w:val="00D557D8"/>
    <w:rsid w:val="00D77895"/>
    <w:rsid w:val="00D81F21"/>
    <w:rsid w:val="00DD2EC4"/>
    <w:rsid w:val="00DE764C"/>
    <w:rsid w:val="00DE7B3D"/>
    <w:rsid w:val="00DF389C"/>
    <w:rsid w:val="00E01D51"/>
    <w:rsid w:val="00E1713A"/>
    <w:rsid w:val="00E236BC"/>
    <w:rsid w:val="00E33820"/>
    <w:rsid w:val="00E360A6"/>
    <w:rsid w:val="00E5030E"/>
    <w:rsid w:val="00E54FA8"/>
    <w:rsid w:val="00E56045"/>
    <w:rsid w:val="00E64A3D"/>
    <w:rsid w:val="00E6672A"/>
    <w:rsid w:val="00E902C0"/>
    <w:rsid w:val="00E928F3"/>
    <w:rsid w:val="00EA220E"/>
    <w:rsid w:val="00EB3D3A"/>
    <w:rsid w:val="00EC2EC3"/>
    <w:rsid w:val="00ED6253"/>
    <w:rsid w:val="00EF02C4"/>
    <w:rsid w:val="00EF79C0"/>
    <w:rsid w:val="00F047FA"/>
    <w:rsid w:val="00F14F92"/>
    <w:rsid w:val="00F1682D"/>
    <w:rsid w:val="00F27138"/>
    <w:rsid w:val="00F43EAF"/>
    <w:rsid w:val="00F47B96"/>
    <w:rsid w:val="00F55C71"/>
    <w:rsid w:val="00F7745B"/>
    <w:rsid w:val="00F776ED"/>
    <w:rsid w:val="00F83A77"/>
    <w:rsid w:val="00F85B1C"/>
    <w:rsid w:val="00FC1CD3"/>
    <w:rsid w:val="00FC7779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02E1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67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6788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26788"/>
    <w:rPr>
      <w:vertAlign w:val="superscript"/>
    </w:rPr>
  </w:style>
  <w:style w:type="paragraph" w:customStyle="1" w:styleId="Default">
    <w:name w:val="Default"/>
    <w:rsid w:val="00157C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57C3F"/>
    <w:rPr>
      <w:color w:val="0000FF" w:themeColor="hyperlink"/>
      <w:u w:val="single"/>
    </w:rPr>
  </w:style>
  <w:style w:type="paragraph" w:customStyle="1" w:styleId="Indent">
    <w:name w:val="Indent"/>
    <w:basedOn w:val="Normal"/>
    <w:link w:val="IndentChar"/>
    <w:rsid w:val="00C3245A"/>
    <w:pPr>
      <w:autoSpaceDE w:val="0"/>
      <w:autoSpaceDN w:val="0"/>
      <w:adjustRightInd w:val="0"/>
      <w:ind w:left="720" w:right="17"/>
    </w:pPr>
    <w:rPr>
      <w:rFonts w:cs="Arial"/>
      <w:color w:val="000000"/>
      <w:lang w:eastAsia="en-GB"/>
    </w:rPr>
  </w:style>
  <w:style w:type="character" w:customStyle="1" w:styleId="IndentChar">
    <w:name w:val="Indent Char"/>
    <w:link w:val="Indent"/>
    <w:rsid w:val="00C3245A"/>
    <w:rPr>
      <w:rFonts w:ascii="Arial" w:hAnsi="Arial" w:cs="Arial"/>
      <w:color w:val="000000"/>
      <w:sz w:val="24"/>
      <w:szCs w:val="24"/>
    </w:rPr>
  </w:style>
  <w:style w:type="paragraph" w:customStyle="1" w:styleId="numberindent">
    <w:name w:val="number indent"/>
    <w:basedOn w:val="Indent"/>
    <w:next w:val="Normal"/>
    <w:link w:val="numberindentChar"/>
    <w:rsid w:val="00C3245A"/>
    <w:pPr>
      <w:ind w:left="1418"/>
    </w:pPr>
  </w:style>
  <w:style w:type="character" w:customStyle="1" w:styleId="numberindentChar">
    <w:name w:val="number indent Char"/>
    <w:basedOn w:val="IndentChar"/>
    <w:link w:val="numberindent"/>
    <w:rsid w:val="00C3245A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02E1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67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6788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26788"/>
    <w:rPr>
      <w:vertAlign w:val="superscript"/>
    </w:rPr>
  </w:style>
  <w:style w:type="paragraph" w:customStyle="1" w:styleId="Default">
    <w:name w:val="Default"/>
    <w:rsid w:val="00157C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57C3F"/>
    <w:rPr>
      <w:color w:val="0000FF" w:themeColor="hyperlink"/>
      <w:u w:val="single"/>
    </w:rPr>
  </w:style>
  <w:style w:type="paragraph" w:customStyle="1" w:styleId="Indent">
    <w:name w:val="Indent"/>
    <w:basedOn w:val="Normal"/>
    <w:link w:val="IndentChar"/>
    <w:rsid w:val="00C3245A"/>
    <w:pPr>
      <w:autoSpaceDE w:val="0"/>
      <w:autoSpaceDN w:val="0"/>
      <w:adjustRightInd w:val="0"/>
      <w:ind w:left="720" w:right="17"/>
    </w:pPr>
    <w:rPr>
      <w:rFonts w:cs="Arial"/>
      <w:color w:val="000000"/>
      <w:lang w:eastAsia="en-GB"/>
    </w:rPr>
  </w:style>
  <w:style w:type="character" w:customStyle="1" w:styleId="IndentChar">
    <w:name w:val="Indent Char"/>
    <w:link w:val="Indent"/>
    <w:rsid w:val="00C3245A"/>
    <w:rPr>
      <w:rFonts w:ascii="Arial" w:hAnsi="Arial" w:cs="Arial"/>
      <w:color w:val="000000"/>
      <w:sz w:val="24"/>
      <w:szCs w:val="24"/>
    </w:rPr>
  </w:style>
  <w:style w:type="paragraph" w:customStyle="1" w:styleId="numberindent">
    <w:name w:val="number indent"/>
    <w:basedOn w:val="Indent"/>
    <w:next w:val="Normal"/>
    <w:link w:val="numberindentChar"/>
    <w:rsid w:val="00C3245A"/>
    <w:pPr>
      <w:ind w:left="1418"/>
    </w:pPr>
  </w:style>
  <w:style w:type="character" w:customStyle="1" w:styleId="numberindentChar">
    <w:name w:val="number indent Char"/>
    <w:basedOn w:val="IndentChar"/>
    <w:link w:val="numberindent"/>
    <w:rsid w:val="00C3245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F426-5EB4-42D3-BE7E-AE6A0DC3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928A746</Template>
  <TotalTime>0</TotalTime>
  <Pages>2</Pages>
  <Words>391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jthompson</cp:lastModifiedBy>
  <cp:revision>2</cp:revision>
  <cp:lastPrinted>2016-03-21T10:56:00Z</cp:lastPrinted>
  <dcterms:created xsi:type="dcterms:W3CDTF">2017-07-11T11:41:00Z</dcterms:created>
  <dcterms:modified xsi:type="dcterms:W3CDTF">2017-07-11T11:41:00Z</dcterms:modified>
</cp:coreProperties>
</file>